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27" w:rsidRDefault="008E7F27" w:rsidP="008E7F27">
      <w:pPr>
        <w:jc w:val="center"/>
        <w:rPr>
          <w:b/>
          <w:sz w:val="28"/>
          <w:szCs w:val="28"/>
        </w:rPr>
      </w:pPr>
    </w:p>
    <w:p w:rsidR="008E7F27" w:rsidRDefault="008E7F27" w:rsidP="008E7F27">
      <w:pPr>
        <w:jc w:val="center"/>
        <w:rPr>
          <w:b/>
          <w:sz w:val="28"/>
          <w:szCs w:val="28"/>
        </w:rPr>
      </w:pPr>
    </w:p>
    <w:p w:rsidR="008E7F27" w:rsidRDefault="008E7F27" w:rsidP="008E7F27">
      <w:pPr>
        <w:jc w:val="center"/>
        <w:rPr>
          <w:b/>
          <w:sz w:val="28"/>
          <w:szCs w:val="28"/>
        </w:rPr>
      </w:pPr>
    </w:p>
    <w:p w:rsidR="008E7F27" w:rsidRDefault="008E7F27" w:rsidP="008E7F27">
      <w:pPr>
        <w:jc w:val="center"/>
        <w:rPr>
          <w:b/>
          <w:sz w:val="28"/>
          <w:szCs w:val="28"/>
        </w:rPr>
      </w:pPr>
      <w:r w:rsidRPr="00AD3EE8">
        <w:rPr>
          <w:b/>
          <w:sz w:val="28"/>
          <w:szCs w:val="28"/>
        </w:rPr>
        <w:t>Пенсионный фонд отвечает на вопросы.</w:t>
      </w:r>
    </w:p>
    <w:p w:rsidR="008E7F27" w:rsidRDefault="008E7F27" w:rsidP="008E7F27">
      <w:pPr>
        <w:jc w:val="center"/>
        <w:rPr>
          <w:b/>
          <w:sz w:val="28"/>
          <w:szCs w:val="28"/>
        </w:rPr>
      </w:pPr>
    </w:p>
    <w:p w:rsidR="008E7F27" w:rsidRPr="0054105A" w:rsidRDefault="008E7F27" w:rsidP="008E7F27">
      <w:pPr>
        <w:rPr>
          <w:sz w:val="26"/>
          <w:szCs w:val="26"/>
        </w:rPr>
      </w:pPr>
      <w:r>
        <w:rPr>
          <w:sz w:val="26"/>
          <w:szCs w:val="26"/>
        </w:rPr>
        <w:t xml:space="preserve">        </w:t>
      </w:r>
      <w:r w:rsidRPr="0054105A">
        <w:rPr>
          <w:sz w:val="26"/>
          <w:szCs w:val="26"/>
        </w:rPr>
        <w:t>В Клиентскую службу (на правах отдела) в Охотском районе поступают вопросы о выборе способа получения пенсии и других социальных выплат.</w:t>
      </w:r>
    </w:p>
    <w:p w:rsidR="008E7F27" w:rsidRPr="0054105A" w:rsidRDefault="008E7F27" w:rsidP="008E7F27">
      <w:pPr>
        <w:rPr>
          <w:sz w:val="26"/>
          <w:szCs w:val="26"/>
        </w:rPr>
      </w:pPr>
      <w:r w:rsidRPr="0054105A">
        <w:rPr>
          <w:sz w:val="26"/>
          <w:szCs w:val="26"/>
        </w:rPr>
        <w:t>На вопрос отвечает руководитель Клиентской службой Татьяна Зайцева.</w:t>
      </w:r>
    </w:p>
    <w:p w:rsidR="008E7F27" w:rsidRPr="0054105A" w:rsidRDefault="008E7F27" w:rsidP="008E7F27">
      <w:pPr>
        <w:ind w:firstLine="709"/>
        <w:jc w:val="both"/>
        <w:rPr>
          <w:sz w:val="26"/>
          <w:szCs w:val="26"/>
        </w:rPr>
      </w:pPr>
      <w:r w:rsidRPr="0054105A">
        <w:rPr>
          <w:sz w:val="26"/>
          <w:szCs w:val="26"/>
        </w:rPr>
        <w:t>-  Жители Охотского района имеют возможность выбрать для себя наиболее удобный способ получения пенсии: через банк или организацию почтовой связи.</w:t>
      </w:r>
    </w:p>
    <w:p w:rsidR="008E7F27" w:rsidRPr="0054105A" w:rsidRDefault="008E7F27" w:rsidP="008E7F27">
      <w:pPr>
        <w:ind w:firstLine="709"/>
        <w:jc w:val="both"/>
        <w:rPr>
          <w:sz w:val="26"/>
          <w:szCs w:val="26"/>
        </w:rPr>
      </w:pPr>
      <w:r w:rsidRPr="0054105A">
        <w:rPr>
          <w:sz w:val="26"/>
          <w:szCs w:val="26"/>
        </w:rPr>
        <w:t xml:space="preserve">Региональное Отделение Пенсионного фонда России заключило договор о данном виде услуги с 22 организациями. И этот перечень может быть расширен, если пенсионер выберет для получения пенсии иную организацию. </w:t>
      </w:r>
    </w:p>
    <w:p w:rsidR="008E7F27" w:rsidRPr="0054105A" w:rsidRDefault="008E7F27" w:rsidP="008E7F27">
      <w:pPr>
        <w:ind w:firstLine="709"/>
        <w:jc w:val="both"/>
        <w:rPr>
          <w:sz w:val="26"/>
          <w:szCs w:val="26"/>
        </w:rPr>
      </w:pPr>
      <w:r w:rsidRPr="0054105A">
        <w:rPr>
          <w:sz w:val="26"/>
          <w:szCs w:val="26"/>
        </w:rPr>
        <w:t>Если пенсионер выбрал для доставки пенсии организацию, с которой у ПФР не заключен договор, рассмотрение заявления пенсионера приостанавливается до заключения соответствующего договора, но не более чем на три месяца. При этом, пока идет процесс заключения договора, пенсионеру нужно выбрать другую организацию, осуществляющую доставку пенсии, с которой такой договор был заключен ранее.</w:t>
      </w:r>
    </w:p>
    <w:p w:rsidR="008E7F27" w:rsidRPr="0054105A" w:rsidRDefault="008E7F27" w:rsidP="008E7F27">
      <w:pPr>
        <w:ind w:firstLine="709"/>
        <w:jc w:val="both"/>
        <w:rPr>
          <w:sz w:val="26"/>
          <w:szCs w:val="26"/>
        </w:rPr>
      </w:pPr>
      <w:r w:rsidRPr="0054105A">
        <w:rPr>
          <w:sz w:val="26"/>
          <w:szCs w:val="26"/>
        </w:rPr>
        <w:t xml:space="preserve">Перечисление сумм пенсий в банки для зачисления на счета пенсионеров производится в период с 18 по 24 число каждого месяца. </w:t>
      </w:r>
    </w:p>
    <w:p w:rsidR="008E7F27" w:rsidRPr="0054105A" w:rsidRDefault="008E7F27" w:rsidP="008E7F27">
      <w:pPr>
        <w:ind w:firstLine="709"/>
        <w:jc w:val="both"/>
        <w:rPr>
          <w:sz w:val="26"/>
          <w:szCs w:val="26"/>
        </w:rPr>
      </w:pPr>
      <w:r w:rsidRPr="0054105A">
        <w:rPr>
          <w:sz w:val="26"/>
          <w:szCs w:val="26"/>
        </w:rPr>
        <w:t xml:space="preserve">Обращаем внимание, что в связи с принятием Федерального закона от 27.06.2011 № 161-ФЗ "О национальной платежной системе" осуществляется постепенный переход на национальную платежную систему "МИР", в том числе в части доставки пенсии и других социальных выплат. </w:t>
      </w:r>
    </w:p>
    <w:p w:rsidR="008E7F27" w:rsidRPr="0054105A" w:rsidRDefault="008E7F27" w:rsidP="008E7F27">
      <w:pPr>
        <w:ind w:firstLine="709"/>
        <w:jc w:val="both"/>
        <w:rPr>
          <w:sz w:val="26"/>
          <w:szCs w:val="26"/>
        </w:rPr>
      </w:pPr>
      <w:r w:rsidRPr="0054105A">
        <w:rPr>
          <w:sz w:val="26"/>
          <w:szCs w:val="26"/>
        </w:rPr>
        <w:t>В настоящее время единственным национальным платежным инструментом является платежная система "МИР".</w:t>
      </w:r>
    </w:p>
    <w:p w:rsidR="008E7F27" w:rsidRPr="0054105A" w:rsidRDefault="008E7F27" w:rsidP="008E7F27">
      <w:pPr>
        <w:ind w:firstLine="709"/>
        <w:jc w:val="both"/>
        <w:rPr>
          <w:sz w:val="26"/>
          <w:szCs w:val="26"/>
        </w:rPr>
      </w:pPr>
      <w:r w:rsidRPr="0054105A">
        <w:rPr>
          <w:sz w:val="26"/>
          <w:szCs w:val="26"/>
        </w:rPr>
        <w:t>Рекомендуем в обязательном порядке обратиться в Пенсионный фонд с реквизитами карты "МИР", так как с 1 июля 2020 года перечисление пенсии и иных социальных выплат будет производиться только на банковские счета, предусматривающие осуществление операций с использованием платежных карт "МИР".</w:t>
      </w:r>
    </w:p>
    <w:p w:rsidR="008E7F27" w:rsidRPr="0054105A" w:rsidRDefault="008E7F27" w:rsidP="008E7F27">
      <w:pPr>
        <w:ind w:firstLine="709"/>
        <w:jc w:val="both"/>
        <w:rPr>
          <w:sz w:val="26"/>
          <w:szCs w:val="26"/>
        </w:rPr>
      </w:pPr>
      <w:r w:rsidRPr="0054105A">
        <w:rPr>
          <w:sz w:val="26"/>
          <w:szCs w:val="26"/>
        </w:rPr>
        <w:t>Если пенсионер получает пенсию через почтовое отделение, то доставка осуществляется по выбору пенсионера непосредственно на дом или в кассе предприятия почтовой связи. Каждому пенсионеру устанавливается определенная дата получения пенсии с 3 по 21 число. Если пенсионер не получил пенсию в установленную дату, её выдача может быть произведена позже, в течение выплатного периода.</w:t>
      </w:r>
    </w:p>
    <w:p w:rsidR="008E7F27" w:rsidRPr="0054105A" w:rsidRDefault="008E7F27" w:rsidP="008E7F27">
      <w:pPr>
        <w:ind w:firstLine="709"/>
        <w:jc w:val="both"/>
        <w:rPr>
          <w:sz w:val="26"/>
          <w:szCs w:val="26"/>
        </w:rPr>
      </w:pPr>
      <w:r w:rsidRPr="0054105A">
        <w:rPr>
          <w:sz w:val="26"/>
          <w:szCs w:val="26"/>
        </w:rPr>
        <w:t xml:space="preserve">Для того чтобы выбрать первоначально или изменить доставочную организацию гражданину нужно подать соответствующее заявление. Сделать это можно дистанционно  с помощью электронного сервиса «Подать заявление о доставке пенсии» в </w:t>
      </w:r>
      <w:hyperlink r:id="rId4" w:anchor="services-f" w:history="1">
        <w:r w:rsidRPr="0054105A">
          <w:rPr>
            <w:rStyle w:val="a7"/>
            <w:sz w:val="26"/>
            <w:szCs w:val="26"/>
          </w:rPr>
          <w:t>личном кабинете гражданина</w:t>
        </w:r>
      </w:hyperlink>
      <w:r w:rsidRPr="0054105A">
        <w:rPr>
          <w:sz w:val="26"/>
          <w:szCs w:val="26"/>
        </w:rPr>
        <w:t xml:space="preserve"> на сайте  Пенсионного фонда. </w:t>
      </w:r>
    </w:p>
    <w:p w:rsidR="008E7F27" w:rsidRPr="0054105A" w:rsidRDefault="008E7F27" w:rsidP="008E7F27">
      <w:pPr>
        <w:ind w:firstLine="709"/>
        <w:jc w:val="both"/>
        <w:rPr>
          <w:sz w:val="26"/>
          <w:szCs w:val="26"/>
        </w:rPr>
      </w:pPr>
      <w:r w:rsidRPr="0054105A">
        <w:rPr>
          <w:sz w:val="26"/>
          <w:szCs w:val="26"/>
        </w:rPr>
        <w:t xml:space="preserve">Заявление может быть представлено лично или через законного представителя пенсионера в МФЦ или Территориальный орган ПФР по месту жительства. </w:t>
      </w:r>
    </w:p>
    <w:p w:rsidR="008E7F27" w:rsidRPr="0054105A" w:rsidRDefault="008E7F27" w:rsidP="008E7F27">
      <w:pPr>
        <w:rPr>
          <w:sz w:val="26"/>
          <w:szCs w:val="26"/>
        </w:rPr>
      </w:pPr>
    </w:p>
    <w:p w:rsidR="000F735E" w:rsidRDefault="000F735E"/>
    <w:sectPr w:rsidR="000F735E" w:rsidSect="008E7F27">
      <w:headerReference w:type="default" r:id="rId5"/>
      <w:footerReference w:type="even" r:id="rId6"/>
      <w:footerReference w:type="default" r:id="rId7"/>
      <w:headerReference w:type="first" r:id="rId8"/>
      <w:footerReference w:type="first" r:id="rId9"/>
      <w:type w:val="continuous"/>
      <w:pgSz w:w="11906" w:h="16838" w:code="9"/>
      <w:pgMar w:top="2093" w:right="849" w:bottom="709" w:left="1134" w:header="567" w:footer="1009"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rPr>
        <w:trHeight w:val="545"/>
      </w:trPr>
      <w:tc>
        <w:tcPr>
          <w:tcW w:w="4678" w:type="dxa"/>
          <w:vMerge w:val="restart"/>
        </w:tcPr>
        <w:p w:rsidR="0054105A" w:rsidRDefault="008E7F27">
          <w:pPr>
            <w:pStyle w:val="a3"/>
            <w:framePr w:hSpace="187" w:wrap="around" w:vAnchor="text" w:hAnchor="text" w:y="1"/>
            <w:rPr>
              <w:rFonts w:ascii="Cambria" w:hAnsi="Cambria"/>
              <w:b/>
              <w:bCs/>
            </w:rPr>
          </w:pP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rPr>
        <w:trHeight w:val="247"/>
      </w:trPr>
      <w:tc>
        <w:tcPr>
          <w:tcW w:w="4678" w:type="dxa"/>
          <w:vMerge/>
        </w:tcPr>
        <w:p w:rsidR="0054105A" w:rsidRPr="00642BBD" w:rsidRDefault="008E7F27" w:rsidP="002B12E0">
          <w:pPr>
            <w:pStyle w:val="a5"/>
            <w:jc w:val="center"/>
            <w:rPr>
              <w:rFonts w:ascii="Arial" w:hAnsi="Arial"/>
            </w:rPr>
          </w:pPr>
          <w:r w:rsidRPr="00642BBD">
            <w:rPr>
              <w:rFonts w:ascii="Arial" w:hAnsi="Arial"/>
            </w:rPr>
            <w:t xml:space="preserve">Мария </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Pr="00642BBD" w:rsidRDefault="008E7F27" w:rsidP="002B12E0">
          <w:pPr>
            <w:pStyle w:val="a5"/>
            <w:jc w:val="center"/>
            <w:rPr>
              <w:rFonts w:ascii="Arial" w:hAnsi="Arial"/>
            </w:rPr>
          </w:pPr>
          <w:proofErr w:type="spellStart"/>
          <w:r w:rsidRPr="00642BBD">
            <w:rPr>
              <w:rFonts w:ascii="Arial" w:hAnsi="Arial"/>
            </w:rPr>
            <w:t>Славутская</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Pr="00642BBD" w:rsidRDefault="008E7F27" w:rsidP="002B12E0">
          <w:pPr>
            <w:pStyle w:val="a5"/>
            <w:jc w:val="center"/>
            <w:rPr>
              <w:rFonts w:ascii="Arial" w:hAnsi="Arial"/>
            </w:rPr>
          </w:pPr>
          <w:proofErr w:type="spellEnd"/>
          <w:r w:rsidRPr="00642BBD">
            <w:rPr>
              <w:rFonts w:ascii="Arial" w:hAnsi="Arial"/>
            </w:rPr>
            <w:t>, руководитель группы по взаимодействию со СМИ</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Pr="00642BBD" w:rsidRDefault="008E7F27" w:rsidP="002B12E0">
          <w:pPr>
            <w:pStyle w:val="a5"/>
            <w:jc w:val="center"/>
            <w:rPr>
              <w:rFonts w:ascii="Arial" w:hAnsi="Arial"/>
            </w:rPr>
          </w:pPr>
          <w:r w:rsidRPr="00642BBD">
            <w:rPr>
              <w:rFonts w:ascii="Arial" w:hAnsi="Arial"/>
            </w:rPr>
            <w:t xml:space="preserve"> Отделения ПФР по Хабаровскому краю </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Pr="00642BBD" w:rsidRDefault="008E7F27" w:rsidP="002B12E0">
          <w:pPr>
            <w:pStyle w:val="a5"/>
            <w:jc w:val="center"/>
            <w:rPr>
              <w:rFonts w:ascii="Arial" w:hAnsi="Arial"/>
            </w:rPr>
          </w:pPr>
          <w:r w:rsidRPr="00642BBD">
            <w:rPr>
              <w:rFonts w:ascii="Arial" w:hAnsi="Arial"/>
            </w:rPr>
            <w:t>Контактны</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Pr="00642BBD" w:rsidRDefault="008E7F27" w:rsidP="002B12E0">
          <w:pPr>
            <w:pStyle w:val="a5"/>
            <w:jc w:val="center"/>
            <w:rPr>
              <w:rFonts w:ascii="Arial" w:hAnsi="Arial"/>
            </w:rPr>
          </w:pPr>
          <w:r w:rsidRPr="00642BBD">
            <w:rPr>
              <w:rFonts w:ascii="Arial" w:hAnsi="Arial"/>
            </w:rPr>
            <w:t>й тел.  39-98-38, факс 21-45-77</w:t>
          </w: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c>
        <w:tcPr>
          <w:tcW w:w="4678" w:type="dxa"/>
        </w:tcPr>
        <w:p w:rsidR="0054105A" w:rsidRDefault="008E7F27">
          <w:pPr>
            <w:pStyle w:val="a8"/>
            <w:framePr w:hSpace="187" w:wrap="around" w:vAnchor="text" w:hAnchor="text" w:y="1"/>
            <w:rPr>
              <w:rFonts w:ascii="Cambria" w:hAnsi="Cambria"/>
            </w:rPr>
          </w:pP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rPr>
        <w:trHeight w:val="545"/>
      </w:trPr>
      <w:tc>
        <w:tcPr>
          <w:tcW w:w="4678" w:type="dxa"/>
          <w:vMerge w:val="restart"/>
        </w:tcPr>
        <w:p w:rsidR="0054105A" w:rsidRDefault="008E7F27">
          <w:pPr>
            <w:pStyle w:val="a3"/>
            <w:framePr w:hSpace="187" w:wrap="around" w:vAnchor="text" w:hAnchor="text" w:y="1"/>
            <w:rPr>
              <w:rFonts w:ascii="Cambria" w:hAnsi="Cambria"/>
              <w:b/>
              <w:bCs/>
            </w:rPr>
          </w:pPr>
        </w:p>
      </w:tc>
    </w:tr>
  </w:tbl>
  <w:tbl>
    <w:tblPr>
      <w:tblW w:w="0" w:type="auto"/>
      <w:tblInd w:w="1526" w:type="dxa"/>
      <w:tblBorders>
        <w:top w:val="single" w:sz="4" w:space="0" w:color="auto"/>
        <w:bottom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tblPr>
    <w:tblGrid>
      <w:gridCol w:w="4678"/>
    </w:tblGrid>
    <w:tr w:rsidTr="0060508A">
      <w:trPr>
        <w:trHeight w:val="545"/>
      </w:trPr>
      <w:tc>
        <w:tcPr>
          <w:tcW w:w="4678" w:type="dxa"/>
          <w:vMerge w:val="restart"/>
        </w:tcPr>
        <w:p w:rsidR="0054105A" w:rsidRDefault="008E7F27">
          <w:pPr>
            <w:pStyle w:val="a3"/>
            <w:framePr w:hSpace="187" w:wrap="around" w:vAnchor="text" w:hAnchor="text" w:y="1"/>
            <w:rPr>
              <w:rFonts w:ascii="Cambria" w:hAnsi="Cambria"/>
              <w:b/>
              <w:bCs/>
            </w:rPr>
          </w:pPr>
        </w:p>
      </w:tc>
      <w:tc>
        <w:tcPr>
          <w:tcW w:w="4678" w:type="dxa"/>
        </w:tcPr>
        <w:p w:rsidR="0054105A" w:rsidRDefault="008E7F27">
          <w:pPr>
            <w:pStyle w:val="a3"/>
            <w:framePr w:hSpace="187" w:wrap="around" w:vAnchor="text" w:hAnchor="text" w:y="1"/>
            <w:jc w:val="center"/>
            <w:rPr>
              <w:rFonts w:ascii="Cambria" w:hAnsi="Cambria"/>
              <w:b/>
              <w:bCs/>
            </w:rPr>
          </w:pPr>
        </w:p>
      </w:tc>
      <w:tc>
        <w:tcPr>
          <w:tcW w:w="4678" w:type="dxa"/>
          <w:vMerge/>
        </w:tcPr>
        <w:p w:rsidR="0054105A" w:rsidRDefault="008E7F27">
          <w:pPr>
            <w:pStyle w:val="a3"/>
            <w:framePr w:hSpace="187" w:wrap="around" w:vAnchor="text" w:hAnchor="text" w:y="1"/>
            <w:rPr>
              <w:rFonts w:ascii="Cambria" w:hAnsi="Cambria"/>
              <w:b/>
              <w:bCs/>
            </w:rPr>
          </w:pPr>
        </w:p>
      </w:tc>
    </w:tr>
  </w:tbl>
  <w:p w:rsidR="0054105A" w:rsidRDefault="008E7F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5A" w:rsidRDefault="008E7F2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9697"/>
      <w:gridCol w:w="221"/>
      <w:gridCol w:w="221"/>
    </w:tblGrid>
    <w:tr w:rsidR="0054105A" w:rsidTr="00164A65">
      <w:trPr>
        <w:trHeight w:val="850"/>
      </w:trPr>
      <w:tc>
        <w:tcPr>
          <w:tcW w:w="2250" w:type="pct"/>
          <w:tcBorders>
            <w:bottom w:val="single" w:sz="4" w:space="0" w:color="4F81BD"/>
          </w:tcBorders>
        </w:tcPr>
        <w:tbl>
          <w:tblPr>
            <w:tblpPr w:leftFromText="187" w:rightFromText="187" w:vertAnchor="text" w:horzAnchor="page" w:tblpXSpec="center" w:tblpY="361"/>
            <w:tblOverlap w:val="never"/>
            <w:tblW w:w="10287" w:type="dxa"/>
            <w:tblLook w:val="04A0"/>
          </w:tblPr>
          <w:tblGrid>
            <w:gridCol w:w="222"/>
            <w:gridCol w:w="9843"/>
            <w:gridCol w:w="222"/>
          </w:tblGrid>
          <w:tr w:rsidR="0054105A" w:rsidTr="00164A65">
            <w:trPr>
              <w:trHeight w:val="151"/>
            </w:trPr>
            <w:tc>
              <w:tcPr>
                <w:tcW w:w="108" w:type="pct"/>
                <w:tcBorders>
                  <w:bottom w:val="single" w:sz="4" w:space="0" w:color="4F81BD"/>
                </w:tcBorders>
              </w:tcPr>
              <w:p w:rsidR="0054105A" w:rsidRDefault="008E7F27" w:rsidP="00164A65">
                <w:pPr>
                  <w:pStyle w:val="a3"/>
                  <w:rPr>
                    <w:rFonts w:ascii="Cambria" w:hAnsi="Cambria"/>
                    <w:b/>
                    <w:bCs/>
                  </w:rPr>
                </w:pPr>
              </w:p>
            </w:tc>
            <w:tc>
              <w:tcPr>
                <w:tcW w:w="4784" w:type="pct"/>
                <w:vMerge w:val="restart"/>
                <w:noWrap/>
                <w:vAlign w:val="center"/>
              </w:tcPr>
              <w:p w:rsidR="0054105A" w:rsidRPr="00164A65" w:rsidRDefault="008E7F27" w:rsidP="00164A65">
                <w:pPr>
                  <w:pStyle w:val="a5"/>
                  <w:jc w:val="center"/>
                  <w:rPr>
                    <w:rFonts w:ascii="Arial" w:hAnsi="Arial"/>
                  </w:rPr>
                </w:pPr>
                <w:r>
                  <w:rPr>
                    <w:rFonts w:ascii="Arial" w:hAnsi="Arial"/>
                  </w:rPr>
                  <w:t>Пресс-служба</w:t>
                </w:r>
              </w:p>
              <w:p w:rsidR="0054105A" w:rsidRPr="00642BBD" w:rsidRDefault="008E7F27" w:rsidP="00164A65">
                <w:pPr>
                  <w:pStyle w:val="a5"/>
                  <w:jc w:val="center"/>
                  <w:rPr>
                    <w:rFonts w:ascii="Arial" w:hAnsi="Arial"/>
                  </w:rPr>
                </w:pPr>
                <w:r w:rsidRPr="00642BBD">
                  <w:rPr>
                    <w:rFonts w:ascii="Arial" w:hAnsi="Arial"/>
                  </w:rPr>
                  <w:t xml:space="preserve"> Отделения ПФР по Хабаровскому краю </w:t>
                </w:r>
              </w:p>
              <w:p w:rsidR="0054105A" w:rsidRPr="00E52B40" w:rsidRDefault="008E7F27" w:rsidP="00164A65">
                <w:pPr>
                  <w:pStyle w:val="a5"/>
                  <w:jc w:val="center"/>
                  <w:rPr>
                    <w:rFonts w:ascii="Cambria" w:hAnsi="Cambria"/>
                  </w:rPr>
                </w:pPr>
                <w:r w:rsidRPr="007F639B">
                  <w:rPr>
                    <w:rFonts w:ascii="Arial" w:hAnsi="Arial"/>
                    <w:sz w:val="18"/>
                  </w:rPr>
                  <w:t xml:space="preserve">Контактный </w:t>
                </w:r>
                <w:r>
                  <w:rPr>
                    <w:rFonts w:ascii="Arial" w:hAnsi="Arial"/>
                  </w:rPr>
                  <w:t>тел. 46</w:t>
                </w:r>
                <w:r w:rsidRPr="00642BBD">
                  <w:rPr>
                    <w:rFonts w:ascii="Arial" w:hAnsi="Arial"/>
                  </w:rPr>
                  <w:t xml:space="preserve">-98-38, </w:t>
                </w:r>
                <w:proofErr w:type="spellStart"/>
                <w:r>
                  <w:rPr>
                    <w:rFonts w:ascii="Arial" w:hAnsi="Arial"/>
                    <w:lang w:val="en-US"/>
                  </w:rPr>
                  <w:t>pressa</w:t>
                </w:r>
                <w:proofErr w:type="spellEnd"/>
                <w:r w:rsidRPr="008E7F27">
                  <w:rPr>
                    <w:rFonts w:ascii="Arial" w:hAnsi="Arial"/>
                  </w:rPr>
                  <w:t>@037.</w:t>
                </w:r>
                <w:proofErr w:type="spellStart"/>
                <w:r>
                  <w:rPr>
                    <w:rFonts w:ascii="Arial" w:hAnsi="Arial"/>
                    <w:lang w:val="en-US"/>
                  </w:rPr>
                  <w:t>pfr</w:t>
                </w:r>
                <w:proofErr w:type="spellEnd"/>
                <w:r w:rsidRPr="008E7F27">
                  <w:rPr>
                    <w:rFonts w:ascii="Arial" w:hAnsi="Arial"/>
                  </w:rPr>
                  <w:t>.</w:t>
                </w:r>
                <w:proofErr w:type="spellStart"/>
                <w:r>
                  <w:rPr>
                    <w:rFonts w:ascii="Arial" w:hAnsi="Arial"/>
                    <w:lang w:val="en-US"/>
                  </w:rPr>
                  <w:t>ru</w:t>
                </w:r>
                <w:proofErr w:type="spellEnd"/>
              </w:p>
            </w:tc>
            <w:tc>
              <w:tcPr>
                <w:tcW w:w="108" w:type="pct"/>
                <w:tcBorders>
                  <w:bottom w:val="single" w:sz="4" w:space="0" w:color="4F81BD"/>
                </w:tcBorders>
              </w:tcPr>
              <w:p w:rsidR="0054105A" w:rsidRDefault="008E7F27" w:rsidP="00164A65">
                <w:pPr>
                  <w:pStyle w:val="a3"/>
                  <w:rPr>
                    <w:rFonts w:ascii="Cambria" w:hAnsi="Cambria"/>
                    <w:b/>
                    <w:bCs/>
                  </w:rPr>
                </w:pPr>
              </w:p>
            </w:tc>
          </w:tr>
          <w:tr w:rsidR="0054105A" w:rsidTr="00164A65">
            <w:trPr>
              <w:trHeight w:val="150"/>
            </w:trPr>
            <w:tc>
              <w:tcPr>
                <w:tcW w:w="108" w:type="pct"/>
                <w:tcBorders>
                  <w:top w:val="single" w:sz="4" w:space="0" w:color="4F81BD"/>
                </w:tcBorders>
              </w:tcPr>
              <w:p w:rsidR="0054105A" w:rsidRDefault="008E7F27" w:rsidP="00164A65">
                <w:pPr>
                  <w:pStyle w:val="a3"/>
                  <w:rPr>
                    <w:rFonts w:ascii="Cambria" w:hAnsi="Cambria"/>
                    <w:b/>
                    <w:bCs/>
                  </w:rPr>
                </w:pPr>
              </w:p>
            </w:tc>
            <w:tc>
              <w:tcPr>
                <w:tcW w:w="4784" w:type="pct"/>
                <w:vMerge/>
              </w:tcPr>
              <w:p w:rsidR="0054105A" w:rsidRDefault="008E7F27" w:rsidP="00164A65">
                <w:pPr>
                  <w:pStyle w:val="a3"/>
                  <w:jc w:val="center"/>
                  <w:rPr>
                    <w:rFonts w:ascii="Cambria" w:hAnsi="Cambria"/>
                    <w:b/>
                    <w:bCs/>
                  </w:rPr>
                </w:pPr>
              </w:p>
            </w:tc>
            <w:tc>
              <w:tcPr>
                <w:tcW w:w="108" w:type="pct"/>
                <w:tcBorders>
                  <w:top w:val="single" w:sz="4" w:space="0" w:color="4F81BD"/>
                </w:tcBorders>
              </w:tcPr>
              <w:p w:rsidR="0054105A" w:rsidRDefault="008E7F27" w:rsidP="00164A65">
                <w:pPr>
                  <w:pStyle w:val="a3"/>
                  <w:rPr>
                    <w:rFonts w:ascii="Cambria" w:hAnsi="Cambria"/>
                    <w:b/>
                    <w:bCs/>
                  </w:rPr>
                </w:pPr>
              </w:p>
            </w:tc>
          </w:tr>
        </w:tbl>
        <w:p w:rsidR="0054105A" w:rsidRDefault="008E7F27">
          <w:pPr>
            <w:pStyle w:val="a3"/>
            <w:rPr>
              <w:rFonts w:ascii="Cambria" w:hAnsi="Cambria"/>
              <w:b/>
              <w:bCs/>
            </w:rPr>
          </w:pPr>
        </w:p>
      </w:tc>
      <w:tc>
        <w:tcPr>
          <w:tcW w:w="500" w:type="pct"/>
          <w:vMerge w:val="restart"/>
          <w:noWrap/>
          <w:vAlign w:val="center"/>
        </w:tcPr>
        <w:p w:rsidR="0054105A" w:rsidRPr="00E52B40" w:rsidRDefault="008E7F27" w:rsidP="00772E23">
          <w:pPr>
            <w:pStyle w:val="a5"/>
            <w:jc w:val="center"/>
            <w:rPr>
              <w:rFonts w:ascii="Cambria" w:hAnsi="Cambria"/>
            </w:rPr>
          </w:pPr>
        </w:p>
      </w:tc>
      <w:tc>
        <w:tcPr>
          <w:tcW w:w="2250" w:type="pct"/>
          <w:tcBorders>
            <w:bottom w:val="single" w:sz="4" w:space="0" w:color="4F81BD"/>
          </w:tcBorders>
        </w:tcPr>
        <w:p w:rsidR="0054105A" w:rsidRDefault="008E7F27">
          <w:pPr>
            <w:pStyle w:val="a3"/>
            <w:rPr>
              <w:rFonts w:ascii="Cambria" w:hAnsi="Cambria"/>
              <w:b/>
              <w:bCs/>
            </w:rPr>
          </w:pPr>
        </w:p>
      </w:tc>
    </w:tr>
    <w:tr w:rsidR="0054105A">
      <w:trPr>
        <w:trHeight w:val="150"/>
      </w:trPr>
      <w:tc>
        <w:tcPr>
          <w:tcW w:w="2250" w:type="pct"/>
          <w:tcBorders>
            <w:top w:val="single" w:sz="4" w:space="0" w:color="4F81BD"/>
          </w:tcBorders>
        </w:tcPr>
        <w:p w:rsidR="0054105A" w:rsidRDefault="008E7F27">
          <w:pPr>
            <w:pStyle w:val="a3"/>
            <w:rPr>
              <w:rFonts w:ascii="Cambria" w:hAnsi="Cambria"/>
              <w:b/>
              <w:bCs/>
            </w:rPr>
          </w:pPr>
        </w:p>
      </w:tc>
      <w:tc>
        <w:tcPr>
          <w:tcW w:w="500" w:type="pct"/>
          <w:vMerge/>
        </w:tcPr>
        <w:p w:rsidR="0054105A" w:rsidRDefault="008E7F27">
          <w:pPr>
            <w:pStyle w:val="a3"/>
            <w:jc w:val="center"/>
            <w:rPr>
              <w:rFonts w:ascii="Cambria" w:hAnsi="Cambria"/>
              <w:b/>
              <w:bCs/>
            </w:rPr>
          </w:pPr>
        </w:p>
      </w:tc>
      <w:tc>
        <w:tcPr>
          <w:tcW w:w="2250" w:type="pct"/>
          <w:tcBorders>
            <w:top w:val="single" w:sz="4" w:space="0" w:color="4F81BD"/>
          </w:tcBorders>
        </w:tcPr>
        <w:p w:rsidR="0054105A" w:rsidRDefault="008E7F27">
          <w:pPr>
            <w:pStyle w:val="a3"/>
            <w:rPr>
              <w:rFonts w:ascii="Cambria" w:hAnsi="Cambria"/>
              <w:b/>
              <w:bCs/>
            </w:rPr>
          </w:pPr>
        </w:p>
      </w:tc>
    </w:tr>
  </w:tbl>
  <w:p w:rsidR="0054105A" w:rsidRDefault="008E7F27" w:rsidP="00BB1BE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5A" w:rsidRDefault="008E7F2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27.2pt;margin-top:-3.8pt;width:35.5pt;height:36pt;z-index:-251651072">
          <v:imagedata r:id="rId1" o:title="Logo"/>
        </v:shape>
      </w:pict>
    </w:r>
  </w:p>
  <w:p w:rsidR="0054105A" w:rsidRDefault="008E7F27">
    <w:r>
      <w:rPr>
        <w:noProof/>
      </w:rPr>
      <w:pict>
        <v:line id="_x0000_s1029" style="position:absolute;z-index:251664384" from="47.2pt,56.7pt" to="461pt,56.7pt" strokeweight="1pt"/>
      </w:pict>
    </w:r>
    <w:r>
      <w:rPr>
        <w:noProof/>
      </w:rPr>
      <w:pict>
        <v:shapetype id="_x0000_t202" coordsize="21600,21600" o:spt="202" path="m,l,21600r21600,l21600,xe">
          <v:stroke joinstyle="miter"/>
          <v:path gradientshapeok="t" o:connecttype="rect"/>
        </v:shapetype>
        <v:shape id="_x0000_s1028" type="#_x0000_t202" style="position:absolute;margin-left:76.9pt;margin-top:19.2pt;width:338.55pt;height:34.7pt;z-index:251663360" filled="f" stroked="f">
          <v:textbox style="mso-next-textbox:#_x0000_s1028">
            <w:txbxContent>
              <w:p w:rsidR="0054105A" w:rsidRPr="00C03C70" w:rsidRDefault="008E7F27" w:rsidP="003302C9">
                <w:pPr>
                  <w:pStyle w:val="1"/>
                  <w:jc w:val="center"/>
                  <w:rPr>
                    <w:spacing w:val="20"/>
                    <w:sz w:val="22"/>
                    <w:szCs w:val="22"/>
                  </w:rPr>
                </w:pPr>
                <w:r>
                  <w:rPr>
                    <w:spacing w:val="20"/>
                    <w:sz w:val="22"/>
                    <w:szCs w:val="22"/>
                  </w:rPr>
                  <w:t xml:space="preserve">Отделение </w:t>
                </w:r>
                <w:r w:rsidRPr="008A36F9">
                  <w:rPr>
                    <w:spacing w:val="20"/>
                    <w:sz w:val="22"/>
                    <w:szCs w:val="22"/>
                  </w:rPr>
                  <w:t>Пенсионн</w:t>
                </w:r>
                <w:r>
                  <w:rPr>
                    <w:spacing w:val="20"/>
                    <w:sz w:val="22"/>
                    <w:szCs w:val="22"/>
                  </w:rPr>
                  <w:t>ого</w:t>
                </w:r>
                <w:r w:rsidRPr="008A36F9">
                  <w:rPr>
                    <w:spacing w:val="20"/>
                    <w:sz w:val="22"/>
                    <w:szCs w:val="22"/>
                  </w:rPr>
                  <w:t xml:space="preserve"> фонд</w:t>
                </w:r>
                <w:r>
                  <w:rPr>
                    <w:spacing w:val="20"/>
                    <w:sz w:val="22"/>
                    <w:szCs w:val="22"/>
                  </w:rPr>
                  <w:t>а</w:t>
                </w:r>
                <w:r w:rsidRPr="008A36F9">
                  <w:rPr>
                    <w:spacing w:val="20"/>
                    <w:sz w:val="22"/>
                    <w:szCs w:val="22"/>
                  </w:rPr>
                  <w:t xml:space="preserve"> Российской Федерации</w:t>
                </w:r>
                <w:r>
                  <w:rPr>
                    <w:spacing w:val="20"/>
                    <w:sz w:val="22"/>
                    <w:szCs w:val="22"/>
                  </w:rPr>
                  <w:t xml:space="preserve"> по Хабаровскому краю</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5A" w:rsidRDefault="008E7F27" w:rsidP="00DA1C4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2pt;margin-top:-10.55pt;width:35.5pt;height:36pt;z-index:-251654144">
          <v:imagedata r:id="rId1" o:title="Logo"/>
        </v:shape>
      </w:pict>
    </w:r>
  </w:p>
  <w:p w:rsidR="0054105A" w:rsidRDefault="008E7F27">
    <w:pPr>
      <w:pStyle w:val="a3"/>
    </w:pPr>
    <w:r>
      <w:rPr>
        <w:noProof/>
      </w:rPr>
      <w:pict>
        <v:shapetype id="_x0000_t202" coordsize="21600,21600" o:spt="202" path="m,l,21600r21600,l21600,xe">
          <v:stroke joinstyle="miter"/>
          <v:path gradientshapeok="t" o:connecttype="rect"/>
        </v:shapetype>
        <v:shape id="_x0000_s1025" type="#_x0000_t202" style="position:absolute;margin-left:64.9pt;margin-top:12.45pt;width:338.55pt;height:34.7pt;z-index:251660288" filled="f" stroked="f">
          <v:textbox style="mso-next-textbox:#_x0000_s1025">
            <w:txbxContent>
              <w:p w:rsidR="0054105A" w:rsidRPr="00C03C70" w:rsidRDefault="008E7F27" w:rsidP="006834B2">
                <w:pPr>
                  <w:pStyle w:val="1"/>
                  <w:jc w:val="center"/>
                  <w:rPr>
                    <w:spacing w:val="20"/>
                    <w:sz w:val="22"/>
                    <w:szCs w:val="22"/>
                  </w:rPr>
                </w:pPr>
                <w:r>
                  <w:rPr>
                    <w:spacing w:val="20"/>
                    <w:sz w:val="22"/>
                    <w:szCs w:val="22"/>
                  </w:rPr>
                  <w:t xml:space="preserve">Отделение </w:t>
                </w:r>
                <w:r w:rsidRPr="008A36F9">
                  <w:rPr>
                    <w:spacing w:val="20"/>
                    <w:sz w:val="22"/>
                    <w:szCs w:val="22"/>
                  </w:rPr>
                  <w:t>Пенсионн</w:t>
                </w:r>
                <w:r>
                  <w:rPr>
                    <w:spacing w:val="20"/>
                    <w:sz w:val="22"/>
                    <w:szCs w:val="22"/>
                  </w:rPr>
                  <w:t>ого</w:t>
                </w:r>
                <w:r w:rsidRPr="008A36F9">
                  <w:rPr>
                    <w:spacing w:val="20"/>
                    <w:sz w:val="22"/>
                    <w:szCs w:val="22"/>
                  </w:rPr>
                  <w:t xml:space="preserve"> фо</w:t>
                </w:r>
                <w:r w:rsidRPr="008A36F9">
                  <w:rPr>
                    <w:spacing w:val="20"/>
                    <w:sz w:val="22"/>
                    <w:szCs w:val="22"/>
                  </w:rPr>
                  <w:t>нд</w:t>
                </w:r>
                <w:r>
                  <w:rPr>
                    <w:spacing w:val="20"/>
                    <w:sz w:val="22"/>
                    <w:szCs w:val="22"/>
                  </w:rPr>
                  <w:t>а</w:t>
                </w:r>
                <w:r w:rsidRPr="008A36F9">
                  <w:rPr>
                    <w:spacing w:val="20"/>
                    <w:sz w:val="22"/>
                    <w:szCs w:val="22"/>
                  </w:rPr>
                  <w:t xml:space="preserve"> Российской Федерации</w:t>
                </w:r>
                <w:r>
                  <w:rPr>
                    <w:spacing w:val="20"/>
                    <w:sz w:val="22"/>
                    <w:szCs w:val="22"/>
                  </w:rPr>
                  <w:t xml:space="preserve"> по Хабаровскому краю</w:t>
                </w:r>
              </w:p>
            </w:txbxContent>
          </v:textbox>
        </v:shape>
      </w:pict>
    </w:r>
    <w:r>
      <w:rPr>
        <w:noProof/>
      </w:rPr>
      <w:pict>
        <v:line id="_x0000_s1026" style="position:absolute;z-index:251661312" from="35.2pt,49.95pt" to="449pt,49.95pt"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20"/>
  <w:displayHorizontalDrawingGridEvery w:val="2"/>
  <w:displayVerticalDrawingGridEvery w:val="2"/>
  <w:characterSpacingControl w:val="doNotCompress"/>
  <w:printTwoOnOne/>
  <w:hdrShapeDefaults>
    <o:shapedefaults v:ext="edit" spidmax="2050"/>
    <o:shapelayout v:ext="edit">
      <o:idmap v:ext="edit" data="1"/>
    </o:shapelayout>
  </w:hdrShapeDefaults>
  <w:compat/>
  <w:rsids>
    <w:rsidRoot w:val="008E7F27"/>
    <w:rsid w:val="000F735E"/>
    <w:rsid w:val="008E7F27"/>
    <w:rsid w:val="00BC1678"/>
    <w:rsid w:val="00D97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7F27"/>
    <w:pPr>
      <w:keepNext/>
      <w:outlineLvl w:val="0"/>
    </w:pPr>
    <w:rPr>
      <w:b/>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F27"/>
    <w:rPr>
      <w:rFonts w:ascii="Times New Roman" w:eastAsia="Times New Roman" w:hAnsi="Times New Roman" w:cs="Times New Roman"/>
      <w:b/>
      <w:sz w:val="20"/>
      <w:szCs w:val="20"/>
      <w:lang/>
    </w:rPr>
  </w:style>
  <w:style w:type="paragraph" w:styleId="a3">
    <w:name w:val="header"/>
    <w:basedOn w:val="a"/>
    <w:link w:val="a4"/>
    <w:uiPriority w:val="99"/>
    <w:rsid w:val="008E7F27"/>
    <w:pPr>
      <w:tabs>
        <w:tab w:val="center" w:pos="4153"/>
        <w:tab w:val="right" w:pos="8306"/>
      </w:tabs>
    </w:pPr>
    <w:rPr>
      <w:sz w:val="20"/>
      <w:szCs w:val="20"/>
    </w:rPr>
  </w:style>
  <w:style w:type="character" w:customStyle="1" w:styleId="a4">
    <w:name w:val="Верхний колонтитул Знак"/>
    <w:basedOn w:val="a0"/>
    <w:link w:val="a3"/>
    <w:uiPriority w:val="99"/>
    <w:rsid w:val="008E7F27"/>
    <w:rPr>
      <w:rFonts w:ascii="Times New Roman" w:eastAsia="Times New Roman" w:hAnsi="Times New Roman" w:cs="Times New Roman"/>
      <w:sz w:val="20"/>
      <w:szCs w:val="20"/>
      <w:lang w:eastAsia="ru-RU"/>
    </w:rPr>
  </w:style>
  <w:style w:type="paragraph" w:styleId="a5">
    <w:name w:val="footer"/>
    <w:basedOn w:val="a"/>
    <w:link w:val="a6"/>
    <w:rsid w:val="008E7F27"/>
    <w:pPr>
      <w:tabs>
        <w:tab w:val="center" w:pos="4153"/>
        <w:tab w:val="right" w:pos="8306"/>
      </w:tabs>
    </w:pPr>
    <w:rPr>
      <w:sz w:val="20"/>
      <w:szCs w:val="20"/>
    </w:rPr>
  </w:style>
  <w:style w:type="character" w:customStyle="1" w:styleId="a6">
    <w:name w:val="Нижний колонтитул Знак"/>
    <w:basedOn w:val="a0"/>
    <w:link w:val="a5"/>
    <w:rsid w:val="008E7F27"/>
    <w:rPr>
      <w:rFonts w:ascii="Times New Roman" w:eastAsia="Times New Roman" w:hAnsi="Times New Roman" w:cs="Times New Roman"/>
      <w:sz w:val="20"/>
      <w:szCs w:val="20"/>
      <w:lang w:eastAsia="ru-RU"/>
    </w:rPr>
  </w:style>
  <w:style w:type="character" w:styleId="a7">
    <w:name w:val="Hyperlink"/>
    <w:rsid w:val="008E7F27"/>
    <w:rPr>
      <w:strike w:val="0"/>
      <w:dstrike w:val="0"/>
      <w:color w:val="001CAC"/>
      <w:u w:val="none"/>
      <w:effect w:val="none"/>
    </w:rPr>
  </w:style>
  <w:style w:type="paragraph" w:styleId="a8">
    <w:name w:val="No Spacing"/>
    <w:link w:val="a9"/>
    <w:qFormat/>
    <w:rsid w:val="008E7F27"/>
    <w:pPr>
      <w:spacing w:after="0" w:line="240" w:lineRule="auto"/>
    </w:pPr>
    <w:rPr>
      <w:rFonts w:ascii="Calibri" w:eastAsia="Times New Roman" w:hAnsi="Calibri" w:cs="Times New Roman"/>
    </w:rPr>
  </w:style>
  <w:style w:type="character" w:customStyle="1" w:styleId="a9">
    <w:name w:val="Без интервала Знак"/>
    <w:link w:val="a8"/>
    <w:rsid w:val="008E7F2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s://es.pfrf.ru/" TargetMode="Externa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Сылагатуловна</dc:creator>
  <cp:lastModifiedBy>Зайцева Татьяна Сылагатуловна</cp:lastModifiedBy>
  <cp:revision>1</cp:revision>
  <dcterms:created xsi:type="dcterms:W3CDTF">2020-01-14T00:19:00Z</dcterms:created>
  <dcterms:modified xsi:type="dcterms:W3CDTF">2020-01-14T00:20:00Z</dcterms:modified>
</cp:coreProperties>
</file>